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02" w:rsidRPr="00800602" w:rsidRDefault="00800602">
      <w:pPr>
        <w:rPr>
          <w:rFonts w:ascii="Segoe UI" w:hAnsi="Segoe UI" w:cs="Segoe UI"/>
          <w:b/>
          <w:color w:val="050505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50505"/>
          <w:shd w:val="clear" w:color="auto" w:fill="FFFFFF"/>
        </w:rPr>
        <w:t xml:space="preserve">                             </w:t>
      </w:r>
      <w:r w:rsidRPr="00800602">
        <w:rPr>
          <w:rFonts w:ascii="Segoe UI" w:hAnsi="Segoe UI" w:cs="Segoe UI"/>
          <w:b/>
          <w:color w:val="050505"/>
          <w:sz w:val="24"/>
          <w:szCs w:val="24"/>
          <w:shd w:val="clear" w:color="auto" w:fill="FFFFFF"/>
        </w:rPr>
        <w:t>Operačný program „Kvalita životného prostredia“</w:t>
      </w:r>
    </w:p>
    <w:p w:rsidR="00800602" w:rsidRDefault="00800602">
      <w:pPr>
        <w:rPr>
          <w:rFonts w:ascii="Segoe UI" w:hAnsi="Segoe UI" w:cs="Segoe UI"/>
          <w:color w:val="050505"/>
          <w:shd w:val="clear" w:color="auto" w:fill="FFFFFF"/>
        </w:rPr>
      </w:pPr>
    </w:p>
    <w:p w:rsidR="007E4398" w:rsidRDefault="00800602">
      <w:pPr>
        <w:rPr>
          <w:rFonts w:ascii="Segoe UI" w:hAnsi="Segoe UI" w:cs="Segoe UI"/>
          <w:color w:val="050505"/>
          <w:shd w:val="clear" w:color="auto" w:fill="FFFFFF"/>
        </w:rPr>
      </w:pPr>
      <w:r>
        <w:rPr>
          <w:rFonts w:ascii="Segoe UI" w:hAnsi="Segoe UI" w:cs="Segoe UI"/>
          <w:color w:val="050505"/>
          <w:shd w:val="clear" w:color="auto" w:fill="FFFFFF"/>
        </w:rPr>
        <w:t xml:space="preserve">V rámci Operačného programu Kvalita životného prostredia sa v územnej pôsobnosti správy CHKO Vihorlat realizuje aktivita, ktorá je zameraná na značenie stromov ponechaných na dožitie. </w:t>
      </w:r>
      <w:r>
        <w:rPr>
          <w:rFonts w:ascii="Segoe UI" w:hAnsi="Segoe UI" w:cs="Segoe UI"/>
          <w:noProof/>
          <w:color w:val="050505"/>
          <w:shd w:val="clear" w:color="auto" w:fill="FFFFFF"/>
          <w:lang w:eastAsia="sk-SK"/>
        </w:rPr>
        <w:drawing>
          <wp:inline distT="0" distB="0" distL="0" distR="0">
            <wp:extent cx="155575" cy="155575"/>
            <wp:effectExtent l="19050" t="0" r="0" b="0"/>
            <wp:docPr id="1" name="Obrázok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50505"/>
          <w:shd w:val="clear" w:color="auto" w:fill="FFFFFF"/>
        </w:rPr>
        <w:t xml:space="preserve">Do tejto aktivity sa zapojili dva subjekty, a to Pozemkové spoločenstvo urbariátu a pasienkov Petrovce pri Sobranciach a Urbárska spoločnosť </w:t>
      </w:r>
      <w:proofErr w:type="spellStart"/>
      <w:r>
        <w:rPr>
          <w:rFonts w:ascii="Segoe UI" w:hAnsi="Segoe UI" w:cs="Segoe UI"/>
          <w:color w:val="050505"/>
          <w:shd w:val="clear" w:color="auto" w:fill="FFFFFF"/>
        </w:rPr>
        <w:t>Koromľa</w:t>
      </w:r>
      <w:proofErr w:type="spellEnd"/>
      <w:r>
        <w:rPr>
          <w:rFonts w:ascii="Segoe UI" w:hAnsi="Segoe UI" w:cs="Segoe UI"/>
          <w:color w:val="050505"/>
          <w:shd w:val="clear" w:color="auto" w:fill="FFFFFF"/>
        </w:rPr>
        <w:t>. Stromy na dožitie, ktoré by boli podľa platných programov starostlivosti o lesy vyťažené v rámci naplánovaného hospodárenia v lesoch, sa v rámci tohto opatrenia nevyťažia.</w:t>
      </w:r>
    </w:p>
    <w:p w:rsidR="00800602" w:rsidRDefault="00800602">
      <w:r>
        <w:rPr>
          <w:noProof/>
          <w:lang w:eastAsia="sk-SK"/>
        </w:rPr>
        <w:drawing>
          <wp:inline distT="0" distB="0" distL="0" distR="0">
            <wp:extent cx="5715000" cy="2816225"/>
            <wp:effectExtent l="19050" t="0" r="0" b="0"/>
            <wp:docPr id="4" name="Obrázok 4" descr="https://scontent-vie1-1.xx.fbcdn.net/v/t1.0-0/p526x296/164689185_269549681300796_6373237541560722050_o.jpg?_nc_cat=104&amp;ccb=1-3&amp;_nc_sid=730e14&amp;_nc_ohc=h0AkQ2Cs6iEAX8EDD0t&amp;_nc_ht=scontent-vie1-1.xx&amp;tp=6&amp;oh=50a52afdf8b9e1ef31acebaacd799ccd&amp;oe=6085C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0-0/p526x296/164689185_269549681300796_6373237541560722050_o.jpg?_nc_cat=104&amp;ccb=1-3&amp;_nc_sid=730e14&amp;_nc_ohc=h0AkQ2Cs6iEAX8EDD0t&amp;_nc_ht=scontent-vie1-1.xx&amp;tp=6&amp;oh=50a52afdf8b9e1ef31acebaacd799ccd&amp;oe=6085C02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02" w:rsidRDefault="00800602">
      <w:r>
        <w:rPr>
          <w:noProof/>
          <w:lang w:eastAsia="sk-SK"/>
        </w:rPr>
        <w:drawing>
          <wp:inline distT="0" distB="0" distL="0" distR="0">
            <wp:extent cx="5001006" cy="3995483"/>
            <wp:effectExtent l="19050" t="0" r="9144" b="0"/>
            <wp:docPr id="13" name="Obrázok 13" descr="https://scontent-vie1-1.xx.fbcdn.net/v/t1.0-0/s600x600/164903003_269549771300787_2218020581808759440_o.jpg?_nc_cat=103&amp;ccb=1-3&amp;_nc_sid=730e14&amp;_nc_ohc=VGxKt_PEqD4AX8pLZVk&amp;_nc_ht=scontent-vie1-1.xx&amp;tp=7&amp;oh=3d19b70938b3e56ff92006a02b0fb79e&amp;oe=6085F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v/t1.0-0/s600x600/164903003_269549771300787_2218020581808759440_o.jpg?_nc_cat=103&amp;ccb=1-3&amp;_nc_sid=730e14&amp;_nc_ohc=VGxKt_PEqD4AX8pLZVk&amp;_nc_ht=scontent-vie1-1.xx&amp;tp=7&amp;oh=3d19b70938b3e56ff92006a02b0fb79e&amp;oe=6085FA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84" cy="399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602" w:rsidSect="007E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800602"/>
    <w:rsid w:val="007E4398"/>
    <w:rsid w:val="00800602"/>
    <w:rsid w:val="009A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44" w:after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3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06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2021-03-29T12:53:00Z</dcterms:created>
  <dcterms:modified xsi:type="dcterms:W3CDTF">2021-03-29T12:56:00Z</dcterms:modified>
</cp:coreProperties>
</file>